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E99D" w14:textId="77777777" w:rsidR="00CA0852" w:rsidRDefault="00CA0852" w:rsidP="00C30C0E">
      <w:pPr>
        <w:spacing w:after="0" w:line="240" w:lineRule="auto"/>
        <w:rPr>
          <w:color w:val="FF0000"/>
          <w:sz w:val="20"/>
          <w:szCs w:val="20"/>
        </w:rPr>
      </w:pPr>
      <w:bookmarkStart w:id="0" w:name="_Hlk528048175"/>
    </w:p>
    <w:p w14:paraId="0FA13134" w14:textId="77777777" w:rsidR="00C30C0E" w:rsidRDefault="00C30C0E" w:rsidP="00C30C0E">
      <w:pPr>
        <w:spacing w:after="0" w:line="240" w:lineRule="auto"/>
        <w:rPr>
          <w:color w:val="FF0000"/>
          <w:sz w:val="20"/>
          <w:szCs w:val="20"/>
        </w:rPr>
      </w:pPr>
    </w:p>
    <w:p w14:paraId="355D0806" w14:textId="77777777" w:rsidR="00E42CD5" w:rsidRPr="00E42CD5" w:rsidRDefault="00E42CD5" w:rsidP="00E42CD5">
      <w:pPr>
        <w:spacing w:after="0" w:line="240" w:lineRule="auto"/>
        <w:jc w:val="center"/>
        <w:rPr>
          <w:bCs/>
          <w:sz w:val="24"/>
          <w:szCs w:val="24"/>
          <w:u w:val="single"/>
        </w:rPr>
      </w:pPr>
    </w:p>
    <w:p w14:paraId="29A8F77D" w14:textId="2BA15B46" w:rsidR="004C0AB2" w:rsidRDefault="000A1538" w:rsidP="00A74500">
      <w:pPr>
        <w:jc w:val="center"/>
        <w:rPr>
          <w:b/>
          <w:sz w:val="32"/>
          <w:szCs w:val="32"/>
        </w:rPr>
      </w:pPr>
      <w:bookmarkStart w:id="1" w:name="_Hlk59113188"/>
      <w:r>
        <w:rPr>
          <w:b/>
          <w:sz w:val="40"/>
          <w:szCs w:val="40"/>
        </w:rPr>
        <w:t xml:space="preserve">OPC España </w:t>
      </w:r>
      <w:r w:rsidR="005167AC">
        <w:rPr>
          <w:b/>
          <w:sz w:val="40"/>
          <w:szCs w:val="40"/>
        </w:rPr>
        <w:t xml:space="preserve">llevará al sector MICE a </w:t>
      </w:r>
      <w:r w:rsidR="003E40D6">
        <w:rPr>
          <w:b/>
          <w:sz w:val="40"/>
          <w:szCs w:val="40"/>
        </w:rPr>
        <w:t xml:space="preserve">Santander </w:t>
      </w:r>
      <w:r w:rsidR="005167AC">
        <w:rPr>
          <w:b/>
          <w:sz w:val="40"/>
          <w:szCs w:val="40"/>
        </w:rPr>
        <w:t>en su próximo congreso nacional</w:t>
      </w:r>
    </w:p>
    <w:bookmarkEnd w:id="0"/>
    <w:p w14:paraId="1B682593" w14:textId="18B7F11A" w:rsidR="00F4735D" w:rsidRDefault="002742FD" w:rsidP="00C147B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Durante el 33 Con</w:t>
      </w:r>
      <w:r w:rsidR="00D6546E">
        <w:rPr>
          <w:b/>
          <w:bCs/>
          <w:i/>
          <w:iCs/>
          <w:sz w:val="24"/>
          <w:szCs w:val="24"/>
        </w:rPr>
        <w:t>greso de OPC España</w:t>
      </w:r>
      <w:r w:rsidR="005A0DF5">
        <w:rPr>
          <w:b/>
          <w:bCs/>
          <w:i/>
          <w:iCs/>
          <w:sz w:val="24"/>
          <w:szCs w:val="24"/>
        </w:rPr>
        <w:t xml:space="preserve"> cel</w:t>
      </w:r>
      <w:r w:rsidR="006E7298">
        <w:rPr>
          <w:b/>
          <w:bCs/>
          <w:i/>
          <w:iCs/>
          <w:sz w:val="24"/>
          <w:szCs w:val="24"/>
        </w:rPr>
        <w:t>ebrado en Granada</w:t>
      </w:r>
      <w:r w:rsidR="00D6546E">
        <w:rPr>
          <w:b/>
          <w:bCs/>
          <w:i/>
          <w:iCs/>
          <w:sz w:val="24"/>
          <w:szCs w:val="24"/>
        </w:rPr>
        <w:t xml:space="preserve"> se</w:t>
      </w:r>
      <w:r>
        <w:rPr>
          <w:b/>
          <w:bCs/>
          <w:i/>
          <w:iCs/>
          <w:sz w:val="24"/>
          <w:szCs w:val="24"/>
        </w:rPr>
        <w:t xml:space="preserve"> anunció</w:t>
      </w:r>
      <w:r w:rsidR="004012F0">
        <w:rPr>
          <w:b/>
          <w:bCs/>
          <w:i/>
          <w:iCs/>
          <w:sz w:val="24"/>
          <w:szCs w:val="24"/>
        </w:rPr>
        <w:t xml:space="preserve"> que Santander será</w:t>
      </w:r>
      <w:r w:rsidR="00F53214">
        <w:rPr>
          <w:b/>
          <w:bCs/>
          <w:i/>
          <w:iCs/>
          <w:sz w:val="24"/>
          <w:szCs w:val="24"/>
        </w:rPr>
        <w:t xml:space="preserve"> la sede del </w:t>
      </w:r>
      <w:r>
        <w:rPr>
          <w:b/>
          <w:bCs/>
          <w:i/>
          <w:iCs/>
          <w:sz w:val="24"/>
          <w:szCs w:val="24"/>
        </w:rPr>
        <w:t>próximo congreso nacional</w:t>
      </w:r>
      <w:r w:rsidR="00F4735D">
        <w:rPr>
          <w:b/>
          <w:bCs/>
          <w:i/>
          <w:iCs/>
          <w:sz w:val="24"/>
          <w:szCs w:val="24"/>
        </w:rPr>
        <w:t>.</w:t>
      </w:r>
    </w:p>
    <w:p w14:paraId="2F0C4974" w14:textId="5DF923AA" w:rsidR="000C5CCA" w:rsidRDefault="000C5CCA" w:rsidP="00C147B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El congreso </w:t>
      </w:r>
      <w:r w:rsidR="006C2670">
        <w:rPr>
          <w:b/>
          <w:bCs/>
          <w:i/>
          <w:iCs/>
          <w:sz w:val="24"/>
          <w:szCs w:val="24"/>
        </w:rPr>
        <w:t xml:space="preserve">pondrá rumbo al norte en el </w:t>
      </w:r>
      <w:r>
        <w:rPr>
          <w:b/>
          <w:bCs/>
          <w:i/>
          <w:iCs/>
          <w:sz w:val="24"/>
          <w:szCs w:val="24"/>
        </w:rPr>
        <w:t>primer trimestre de 2022 y supondrá la 34ª edición.</w:t>
      </w:r>
    </w:p>
    <w:p w14:paraId="27723479" w14:textId="61EF2149" w:rsidR="00864A8C" w:rsidRDefault="00864A8C" w:rsidP="00C147B8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Cantabria </w:t>
      </w:r>
      <w:r w:rsidRPr="00864A8C">
        <w:rPr>
          <w:b/>
          <w:bCs/>
          <w:i/>
          <w:iCs/>
          <w:sz w:val="24"/>
          <w:szCs w:val="24"/>
        </w:rPr>
        <w:t>acogerá a los principales agentes nacionales del sector de congresos y eventos corporativos en el año de la reactivación</w:t>
      </w:r>
      <w:r w:rsidR="001848DE">
        <w:rPr>
          <w:b/>
          <w:bCs/>
          <w:i/>
          <w:iCs/>
          <w:sz w:val="24"/>
          <w:szCs w:val="24"/>
        </w:rPr>
        <w:t>.</w:t>
      </w:r>
    </w:p>
    <w:bookmarkEnd w:id="1"/>
    <w:p w14:paraId="7A2C5B8C" w14:textId="77777777" w:rsidR="0096093D" w:rsidRDefault="00B04A8D" w:rsidP="00CE4C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Durante e</w:t>
      </w:r>
      <w:r w:rsidR="00CE4CEB" w:rsidRPr="00CE4CEB">
        <w:rPr>
          <w:b/>
          <w:bCs/>
          <w:sz w:val="24"/>
          <w:szCs w:val="24"/>
        </w:rPr>
        <w:t xml:space="preserve">l Congreso nacional </w:t>
      </w:r>
      <w:r>
        <w:rPr>
          <w:b/>
          <w:bCs/>
          <w:sz w:val="24"/>
          <w:szCs w:val="24"/>
        </w:rPr>
        <w:t xml:space="preserve">de </w:t>
      </w:r>
      <w:r w:rsidR="00CE4CEB" w:rsidRPr="00CE4CEB">
        <w:rPr>
          <w:b/>
          <w:bCs/>
          <w:sz w:val="24"/>
          <w:szCs w:val="24"/>
        </w:rPr>
        <w:t>OPC España celebrado en Granada del 6 al 8 de mayo</w:t>
      </w:r>
      <w:r>
        <w:rPr>
          <w:b/>
          <w:bCs/>
          <w:sz w:val="24"/>
          <w:szCs w:val="24"/>
        </w:rPr>
        <w:t xml:space="preserve"> se anunció la sede del próximo encuentro</w:t>
      </w:r>
      <w:r w:rsidR="00690C7A">
        <w:rPr>
          <w:b/>
          <w:bCs/>
          <w:sz w:val="24"/>
          <w:szCs w:val="24"/>
        </w:rPr>
        <w:t xml:space="preserve"> de </w:t>
      </w:r>
      <w:r w:rsidR="0096093D">
        <w:rPr>
          <w:b/>
          <w:bCs/>
          <w:sz w:val="24"/>
          <w:szCs w:val="24"/>
        </w:rPr>
        <w:t xml:space="preserve">los principales agentes nacionales del sector </w:t>
      </w:r>
      <w:r w:rsidR="0096093D" w:rsidRPr="0096093D">
        <w:rPr>
          <w:b/>
          <w:bCs/>
          <w:sz w:val="24"/>
          <w:szCs w:val="24"/>
        </w:rPr>
        <w:t>de congresos y eventos corporativos</w:t>
      </w:r>
      <w:r w:rsidR="0096093D">
        <w:rPr>
          <w:b/>
          <w:bCs/>
          <w:sz w:val="24"/>
          <w:szCs w:val="24"/>
        </w:rPr>
        <w:t>: Santander.</w:t>
      </w:r>
    </w:p>
    <w:p w14:paraId="75189251" w14:textId="17D03FA6" w:rsidR="00A35888" w:rsidRDefault="00642E54" w:rsidP="00C147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testigo lo recogieron </w:t>
      </w:r>
      <w:r w:rsidRPr="00B71665">
        <w:rPr>
          <w:b/>
          <w:bCs/>
          <w:sz w:val="24"/>
          <w:szCs w:val="24"/>
        </w:rPr>
        <w:t>Carmen Sampedro, presidenta de Convention Bureau, y Rafael Gutiérrez, presidente de OPCE Cantabria</w:t>
      </w:r>
      <w:r>
        <w:rPr>
          <w:b/>
          <w:bCs/>
          <w:sz w:val="24"/>
          <w:szCs w:val="24"/>
        </w:rPr>
        <w:t xml:space="preserve"> de la mano de sus </w:t>
      </w:r>
      <w:r w:rsidR="007336B0">
        <w:rPr>
          <w:b/>
          <w:bCs/>
          <w:sz w:val="24"/>
          <w:szCs w:val="24"/>
        </w:rPr>
        <w:t xml:space="preserve">homólogos andaluces, </w:t>
      </w:r>
      <w:r w:rsidR="00986A62">
        <w:rPr>
          <w:sz w:val="24"/>
          <w:szCs w:val="24"/>
        </w:rPr>
        <w:t xml:space="preserve">Eva Garde, presidenta de Granada </w:t>
      </w:r>
      <w:r w:rsidR="009F2097">
        <w:rPr>
          <w:sz w:val="24"/>
          <w:szCs w:val="24"/>
        </w:rPr>
        <w:t>Convention Bureau, y José Luis Gandullo, presidente de OPC Andalucía</w:t>
      </w:r>
      <w:r w:rsidR="007336B0">
        <w:rPr>
          <w:sz w:val="24"/>
          <w:szCs w:val="24"/>
        </w:rPr>
        <w:t xml:space="preserve">. </w:t>
      </w:r>
      <w:r w:rsidR="00047A71">
        <w:rPr>
          <w:sz w:val="24"/>
          <w:szCs w:val="24"/>
        </w:rPr>
        <w:t>Además, su alcaldesa, Gema Igual</w:t>
      </w:r>
      <w:r w:rsidR="00793C7E">
        <w:rPr>
          <w:sz w:val="24"/>
          <w:szCs w:val="24"/>
        </w:rPr>
        <w:t xml:space="preserve"> -</w:t>
      </w:r>
      <w:r w:rsidR="00047A71">
        <w:rPr>
          <w:sz w:val="24"/>
          <w:szCs w:val="24"/>
        </w:rPr>
        <w:t xml:space="preserve"> ponente del 33 Congreso OPC</w:t>
      </w:r>
      <w:r w:rsidR="00793C7E">
        <w:rPr>
          <w:sz w:val="24"/>
          <w:szCs w:val="24"/>
        </w:rPr>
        <w:t xml:space="preserve"> -</w:t>
      </w:r>
      <w:r w:rsidR="00047A71">
        <w:rPr>
          <w:sz w:val="24"/>
          <w:szCs w:val="24"/>
        </w:rPr>
        <w:t xml:space="preserve"> se unió </w:t>
      </w:r>
      <w:r w:rsidR="00793C7E">
        <w:rPr>
          <w:sz w:val="24"/>
          <w:szCs w:val="24"/>
        </w:rPr>
        <w:t>en el escenario a los representantes de Cantabria</w:t>
      </w:r>
      <w:r w:rsidR="00415EBB">
        <w:rPr>
          <w:sz w:val="24"/>
          <w:szCs w:val="24"/>
        </w:rPr>
        <w:t>.</w:t>
      </w:r>
      <w:r w:rsidR="00793C7E">
        <w:rPr>
          <w:sz w:val="24"/>
          <w:szCs w:val="24"/>
        </w:rPr>
        <w:t xml:space="preserve"> </w:t>
      </w:r>
    </w:p>
    <w:p w14:paraId="1510159F" w14:textId="47713D55" w:rsidR="0002216E" w:rsidRDefault="0002216E" w:rsidP="00C147B8">
      <w:pPr>
        <w:jc w:val="both"/>
        <w:rPr>
          <w:sz w:val="24"/>
          <w:szCs w:val="24"/>
        </w:rPr>
      </w:pPr>
      <w:r w:rsidRPr="004759F2">
        <w:rPr>
          <w:b/>
          <w:bCs/>
          <w:sz w:val="24"/>
          <w:szCs w:val="24"/>
        </w:rPr>
        <w:t>La convocatoria cántabra coincidirá con la esperada activación de la actividad MICE</w:t>
      </w:r>
      <w:r w:rsidRPr="00642E54">
        <w:rPr>
          <w:sz w:val="24"/>
          <w:szCs w:val="24"/>
        </w:rPr>
        <w:t xml:space="preserve">, una candidatura avalada firmemente por el ayuntamiento de Santander y el Gobierno de Cantabria, quienes colaboran desde hace años en el desarrollo de la actividad del Santander Convention Bureau. La plaza cántabra es una de las </w:t>
      </w:r>
      <w:r w:rsidR="00047A71">
        <w:rPr>
          <w:sz w:val="24"/>
          <w:szCs w:val="24"/>
        </w:rPr>
        <w:t>grandes</w:t>
      </w:r>
      <w:r w:rsidRPr="00642E54">
        <w:rPr>
          <w:sz w:val="24"/>
          <w:szCs w:val="24"/>
        </w:rPr>
        <w:t xml:space="preserve"> reconocidas dentro del panorama nacional, especialmente en el ámbito de los congresos médicos asociados al hospital Valdecilla y los congresos científicos vinculados a la universidad</w:t>
      </w:r>
      <w:r w:rsidR="00047A71">
        <w:rPr>
          <w:sz w:val="24"/>
          <w:szCs w:val="24"/>
        </w:rPr>
        <w:t>.</w:t>
      </w:r>
    </w:p>
    <w:p w14:paraId="7B6CE20F" w14:textId="77777777" w:rsidR="0002216E" w:rsidRPr="0002216E" w:rsidRDefault="0002216E" w:rsidP="0002216E">
      <w:pPr>
        <w:jc w:val="both"/>
        <w:rPr>
          <w:sz w:val="24"/>
          <w:szCs w:val="24"/>
        </w:rPr>
      </w:pPr>
      <w:r w:rsidRPr="004759F2">
        <w:rPr>
          <w:b/>
          <w:bCs/>
          <w:sz w:val="24"/>
          <w:szCs w:val="24"/>
        </w:rPr>
        <w:t>El negocio de incentivos</w:t>
      </w:r>
      <w:r w:rsidRPr="0002216E">
        <w:rPr>
          <w:sz w:val="24"/>
          <w:szCs w:val="24"/>
        </w:rPr>
        <w:t xml:space="preserve"> para empresas será uno de los </w:t>
      </w:r>
      <w:r w:rsidRPr="004759F2">
        <w:rPr>
          <w:b/>
          <w:bCs/>
          <w:sz w:val="24"/>
          <w:szCs w:val="24"/>
        </w:rPr>
        <w:t xml:space="preserve">principales ejes de la oferta cántabra </w:t>
      </w:r>
      <w:r w:rsidRPr="0002216E">
        <w:rPr>
          <w:sz w:val="24"/>
          <w:szCs w:val="24"/>
        </w:rPr>
        <w:t>en los próximos años gracias a la diversidad de experiencias que ofrece la comunidad.</w:t>
      </w:r>
    </w:p>
    <w:p w14:paraId="1B294ECA" w14:textId="193B75FC" w:rsidR="0002216E" w:rsidRPr="004759F2" w:rsidRDefault="004759F2" w:rsidP="0002216E">
      <w:pPr>
        <w:jc w:val="both"/>
        <w:rPr>
          <w:sz w:val="24"/>
          <w:szCs w:val="24"/>
        </w:rPr>
      </w:pPr>
      <w:r w:rsidRPr="004759F2">
        <w:rPr>
          <w:b/>
          <w:bCs/>
          <w:sz w:val="24"/>
          <w:szCs w:val="24"/>
        </w:rPr>
        <w:t>OPCE Cantabria</w:t>
      </w:r>
      <w:r w:rsidRPr="004759F2">
        <w:rPr>
          <w:sz w:val="24"/>
          <w:szCs w:val="24"/>
        </w:rPr>
        <w:t xml:space="preserve"> es una asociación de veinte empresas que reúne la amplia cadena de valor del sector MICE en la región. Desde los socios organizadores de eventos y congresos, los propios hoteles que acogen al turista de negocios, o los socios colaboradores como guías turísticos, catering, audiovisuales, agencias de diseño y comunicación, empresas de transporte de personas, intérpretes, producción gráfica, producción de eventos o actividades de ocio y formación.</w:t>
      </w:r>
    </w:p>
    <w:p w14:paraId="7B4C5260" w14:textId="77777777" w:rsidR="0002216E" w:rsidRDefault="0002216E" w:rsidP="00C147B8">
      <w:pPr>
        <w:jc w:val="both"/>
        <w:rPr>
          <w:sz w:val="24"/>
          <w:szCs w:val="24"/>
        </w:rPr>
      </w:pPr>
    </w:p>
    <w:p w14:paraId="5C0DA66C" w14:textId="3DE563FD" w:rsidR="008147F1" w:rsidRPr="00DA7710" w:rsidRDefault="001D00D2" w:rsidP="00C147B8">
      <w:pPr>
        <w:jc w:val="both"/>
        <w:rPr>
          <w:b/>
          <w:bCs/>
          <w:sz w:val="24"/>
          <w:szCs w:val="24"/>
        </w:rPr>
      </w:pPr>
      <w:r w:rsidRPr="00DA7710">
        <w:rPr>
          <w:b/>
          <w:bCs/>
          <w:sz w:val="24"/>
          <w:szCs w:val="24"/>
        </w:rPr>
        <w:t>SOBRE OPC ESPAÑA</w:t>
      </w:r>
    </w:p>
    <w:p w14:paraId="324EAB29" w14:textId="1A1F41E6" w:rsidR="001D00D2" w:rsidRPr="00DA7710" w:rsidRDefault="00931BB1" w:rsidP="000D01E8">
      <w:pPr>
        <w:spacing w:after="0"/>
        <w:jc w:val="both"/>
        <w:rPr>
          <w:sz w:val="24"/>
          <w:szCs w:val="24"/>
        </w:rPr>
      </w:pPr>
      <w:r w:rsidRPr="00DA7710">
        <w:rPr>
          <w:sz w:val="24"/>
          <w:szCs w:val="24"/>
        </w:rPr>
        <w:t xml:space="preserve">OPC España nace en 1987. La Federación, constituida en 1992, está configurada por 11 Asociaciones Autonómicas de empresas OPC: Andalucía, Aragón, Castilla- La Mancha, </w:t>
      </w:r>
      <w:r w:rsidRPr="00DA7710">
        <w:rPr>
          <w:sz w:val="24"/>
          <w:szCs w:val="24"/>
        </w:rPr>
        <w:lastRenderedPageBreak/>
        <w:t>Cataluña, Comunidad Valenciana, País Vasco, Galicia, La Rioja, Madrid y Centro, Murcia y Cantabria y con</w:t>
      </w:r>
      <w:r w:rsidR="00AE786E" w:rsidRPr="00DA7710">
        <w:rPr>
          <w:sz w:val="24"/>
          <w:szCs w:val="24"/>
        </w:rPr>
        <w:t xml:space="preserve"> cuatro</w:t>
      </w:r>
      <w:r w:rsidRPr="00DA7710">
        <w:rPr>
          <w:sz w:val="24"/>
          <w:szCs w:val="24"/>
        </w:rPr>
        <w:t xml:space="preserve"> Delegaciones Autonómicas: Asturias, Castilla y León,</w:t>
      </w:r>
      <w:r w:rsidR="008147F1" w:rsidRPr="00DA7710">
        <w:rPr>
          <w:sz w:val="24"/>
          <w:szCs w:val="24"/>
        </w:rPr>
        <w:t xml:space="preserve"> </w:t>
      </w:r>
      <w:r w:rsidRPr="00DA7710">
        <w:rPr>
          <w:sz w:val="24"/>
          <w:szCs w:val="24"/>
        </w:rPr>
        <w:t>Extremadura y Navarra.  Cuenta con más de 100 empresas miembro de pleno derecho y más de 200 empresas colaboradoras.</w:t>
      </w:r>
    </w:p>
    <w:p w14:paraId="3C2FE63A" w14:textId="77777777" w:rsidR="000D01E8" w:rsidRPr="00DA7710" w:rsidRDefault="000D01E8" w:rsidP="000D01E8">
      <w:pPr>
        <w:spacing w:after="0"/>
        <w:jc w:val="both"/>
        <w:rPr>
          <w:sz w:val="24"/>
          <w:szCs w:val="24"/>
        </w:rPr>
      </w:pPr>
    </w:p>
    <w:p w14:paraId="12B5F198" w14:textId="0F86A2F5" w:rsidR="0088089E" w:rsidRPr="00DA7710" w:rsidRDefault="00931BB1" w:rsidP="00045D62">
      <w:pPr>
        <w:jc w:val="both"/>
        <w:rPr>
          <w:sz w:val="24"/>
          <w:szCs w:val="24"/>
        </w:rPr>
      </w:pPr>
      <w:r w:rsidRPr="00DA7710">
        <w:rPr>
          <w:sz w:val="24"/>
          <w:szCs w:val="24"/>
        </w:rPr>
        <w:t>OPC España es miembro</w:t>
      </w:r>
      <w:r w:rsidR="000217BF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a su vez</w:t>
      </w:r>
      <w:r w:rsidR="000217BF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de EF</w:t>
      </w:r>
      <w:r w:rsidR="00114FDC" w:rsidRPr="00DA7710">
        <w:rPr>
          <w:sz w:val="24"/>
          <w:szCs w:val="24"/>
        </w:rPr>
        <w:t>AP</w:t>
      </w:r>
      <w:r w:rsidRPr="00DA7710">
        <w:rPr>
          <w:sz w:val="24"/>
          <w:szCs w:val="24"/>
        </w:rPr>
        <w:t>CO, la única Federación Europea de empresas OPC, representando a más de 1.514 profesionales de la industria de reuniones y congresos y 14 países miembro. OPC España es miembro de COCAL</w:t>
      </w:r>
      <w:r w:rsidR="008E043C" w:rsidRPr="00DA7710">
        <w:rPr>
          <w:sz w:val="24"/>
          <w:szCs w:val="24"/>
        </w:rPr>
        <w:t>,</w:t>
      </w:r>
      <w:r w:rsidRPr="00DA7710">
        <w:rPr>
          <w:sz w:val="24"/>
          <w:szCs w:val="24"/>
        </w:rPr>
        <w:t xml:space="preserve"> participa en las reuniones del ICTE</w:t>
      </w:r>
      <w:r w:rsidR="008E043C" w:rsidRPr="00DA7710">
        <w:rPr>
          <w:sz w:val="24"/>
          <w:szCs w:val="24"/>
        </w:rPr>
        <w:t xml:space="preserve"> y es fundador de Foro MICE.</w:t>
      </w:r>
    </w:p>
    <w:p w14:paraId="39C80C86" w14:textId="14449011" w:rsidR="0088089E" w:rsidRDefault="0088089E" w:rsidP="0088089E">
      <w:pPr>
        <w:spacing w:after="0"/>
        <w:jc w:val="both"/>
        <w:rPr>
          <w:sz w:val="24"/>
          <w:szCs w:val="24"/>
        </w:rPr>
      </w:pPr>
    </w:p>
    <w:p w14:paraId="25579FEA" w14:textId="273C4E31" w:rsidR="00E47D64" w:rsidRPr="00133E3C" w:rsidRDefault="00E47D64" w:rsidP="0088089E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133E3C">
        <w:rPr>
          <w:rFonts w:ascii="Calibri" w:hAnsi="Calibri" w:cs="Calibri"/>
          <w:b/>
          <w:bCs/>
          <w:sz w:val="20"/>
          <w:szCs w:val="20"/>
        </w:rPr>
        <w:t>Más información:</w:t>
      </w:r>
    </w:p>
    <w:p w14:paraId="4F9076C8" w14:textId="2DBE8DD4" w:rsidR="00E47D64" w:rsidRPr="00133E3C" w:rsidRDefault="00E47D64" w:rsidP="0088089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33E3C">
        <w:rPr>
          <w:rFonts w:ascii="Calibri" w:hAnsi="Calibri" w:cs="Calibri"/>
          <w:sz w:val="20"/>
          <w:szCs w:val="20"/>
        </w:rPr>
        <w:t>Mª Eugenia Domínguez</w:t>
      </w:r>
    </w:p>
    <w:p w14:paraId="0253CDD1" w14:textId="672FB109" w:rsidR="00E47D64" w:rsidRPr="00DA7710" w:rsidRDefault="00E47D64" w:rsidP="00133E3C">
      <w:pPr>
        <w:spacing w:after="0" w:line="240" w:lineRule="auto"/>
        <w:rPr>
          <w:sz w:val="24"/>
          <w:szCs w:val="24"/>
        </w:rPr>
      </w:pPr>
      <w:r w:rsidRPr="00133E3C">
        <w:rPr>
          <w:rFonts w:ascii="Calibri" w:eastAsia="Times New Roman" w:hAnsi="Calibri" w:cs="Calibri"/>
          <w:color w:val="000000" w:themeColor="text1"/>
          <w:spacing w:val="2"/>
          <w:sz w:val="20"/>
          <w:szCs w:val="20"/>
          <w:shd w:val="clear" w:color="auto" w:fill="FFFFFF"/>
          <w:lang w:eastAsia="es-ES_tradnl"/>
        </w:rPr>
        <w:t>674 153 490</w:t>
      </w:r>
    </w:p>
    <w:sectPr w:rsidR="00E47D64" w:rsidRPr="00DA77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8AF8" w14:textId="77777777" w:rsidR="002F00E0" w:rsidRDefault="002F00E0" w:rsidP="00157B8F">
      <w:pPr>
        <w:spacing w:after="0" w:line="240" w:lineRule="auto"/>
      </w:pPr>
      <w:r>
        <w:separator/>
      </w:r>
    </w:p>
  </w:endnote>
  <w:endnote w:type="continuationSeparator" w:id="0">
    <w:p w14:paraId="0A5908AB" w14:textId="77777777" w:rsidR="002F00E0" w:rsidRDefault="002F00E0" w:rsidP="001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4481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8A6489C" w14:textId="77777777" w:rsidR="009C0ED1" w:rsidRPr="009C0ED1" w:rsidRDefault="009C0ED1">
        <w:pPr>
          <w:pStyle w:val="Piedepgina"/>
          <w:jc w:val="right"/>
          <w:rPr>
            <w:sz w:val="18"/>
            <w:szCs w:val="18"/>
          </w:rPr>
        </w:pPr>
        <w:r w:rsidRPr="009C0ED1">
          <w:rPr>
            <w:sz w:val="18"/>
            <w:szCs w:val="18"/>
          </w:rPr>
          <w:fldChar w:fldCharType="begin"/>
        </w:r>
        <w:r w:rsidRPr="009C0ED1">
          <w:rPr>
            <w:sz w:val="18"/>
            <w:szCs w:val="18"/>
          </w:rPr>
          <w:instrText>PAGE   \* MERGEFORMAT</w:instrText>
        </w:r>
        <w:r w:rsidRPr="009C0ED1">
          <w:rPr>
            <w:sz w:val="18"/>
            <w:szCs w:val="18"/>
          </w:rPr>
          <w:fldChar w:fldCharType="separate"/>
        </w:r>
        <w:r w:rsidR="00B5727E">
          <w:rPr>
            <w:noProof/>
            <w:sz w:val="18"/>
            <w:szCs w:val="18"/>
          </w:rPr>
          <w:t>3</w:t>
        </w:r>
        <w:r w:rsidRPr="009C0ED1">
          <w:rPr>
            <w:sz w:val="18"/>
            <w:szCs w:val="18"/>
          </w:rPr>
          <w:fldChar w:fldCharType="end"/>
        </w:r>
      </w:p>
    </w:sdtContent>
  </w:sdt>
  <w:p w14:paraId="4E3C7BB0" w14:textId="77777777" w:rsidR="009C0ED1" w:rsidRDefault="009C0E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C5EC" w14:textId="77777777" w:rsidR="002F00E0" w:rsidRDefault="002F00E0" w:rsidP="00157B8F">
      <w:pPr>
        <w:spacing w:after="0" w:line="240" w:lineRule="auto"/>
      </w:pPr>
      <w:r>
        <w:separator/>
      </w:r>
    </w:p>
  </w:footnote>
  <w:footnote w:type="continuationSeparator" w:id="0">
    <w:p w14:paraId="005674B1" w14:textId="77777777" w:rsidR="002F00E0" w:rsidRDefault="002F00E0" w:rsidP="001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CC2D" w14:textId="79C077AC" w:rsidR="00157B8F" w:rsidRDefault="000741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A27E13" wp14:editId="67BBED61">
          <wp:simplePos x="0" y="0"/>
          <wp:positionH relativeFrom="rightMargin">
            <wp:posOffset>-48260</wp:posOffset>
          </wp:positionH>
          <wp:positionV relativeFrom="paragraph">
            <wp:posOffset>-449580</wp:posOffset>
          </wp:positionV>
          <wp:extent cx="1009650" cy="1009650"/>
          <wp:effectExtent l="0" t="0" r="0" b="0"/>
          <wp:wrapSquare wrapText="bothSides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C21F8"/>
    <w:multiLevelType w:val="hybridMultilevel"/>
    <w:tmpl w:val="724E75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D"/>
    <w:rsid w:val="00005B2A"/>
    <w:rsid w:val="000217BF"/>
    <w:rsid w:val="0002216E"/>
    <w:rsid w:val="00030919"/>
    <w:rsid w:val="00036639"/>
    <w:rsid w:val="00045D62"/>
    <w:rsid w:val="0004631E"/>
    <w:rsid w:val="00046C6D"/>
    <w:rsid w:val="00047A71"/>
    <w:rsid w:val="00052EA1"/>
    <w:rsid w:val="0005550B"/>
    <w:rsid w:val="00055AD0"/>
    <w:rsid w:val="00057CFA"/>
    <w:rsid w:val="00066370"/>
    <w:rsid w:val="00074169"/>
    <w:rsid w:val="000A0A78"/>
    <w:rsid w:val="000A1538"/>
    <w:rsid w:val="000A64F3"/>
    <w:rsid w:val="000A794A"/>
    <w:rsid w:val="000B61DB"/>
    <w:rsid w:val="000C5CCA"/>
    <w:rsid w:val="000D01E8"/>
    <w:rsid w:val="000E59CE"/>
    <w:rsid w:val="00107778"/>
    <w:rsid w:val="00114FDC"/>
    <w:rsid w:val="001238A1"/>
    <w:rsid w:val="00124B3D"/>
    <w:rsid w:val="001258EC"/>
    <w:rsid w:val="0013330C"/>
    <w:rsid w:val="00133E3C"/>
    <w:rsid w:val="00136397"/>
    <w:rsid w:val="00151D77"/>
    <w:rsid w:val="00153385"/>
    <w:rsid w:val="00153E55"/>
    <w:rsid w:val="00157B8F"/>
    <w:rsid w:val="00160D6A"/>
    <w:rsid w:val="00183574"/>
    <w:rsid w:val="00183A25"/>
    <w:rsid w:val="00184062"/>
    <w:rsid w:val="001848DE"/>
    <w:rsid w:val="00185330"/>
    <w:rsid w:val="001860A3"/>
    <w:rsid w:val="0019731F"/>
    <w:rsid w:val="001B6279"/>
    <w:rsid w:val="001B79D7"/>
    <w:rsid w:val="001C7CFD"/>
    <w:rsid w:val="001D00D2"/>
    <w:rsid w:val="001D7BBB"/>
    <w:rsid w:val="001F207B"/>
    <w:rsid w:val="001F6F8C"/>
    <w:rsid w:val="00201BF1"/>
    <w:rsid w:val="00202AC4"/>
    <w:rsid w:val="00203DFA"/>
    <w:rsid w:val="002118BB"/>
    <w:rsid w:val="002123F7"/>
    <w:rsid w:val="00220568"/>
    <w:rsid w:val="0022312B"/>
    <w:rsid w:val="002261F1"/>
    <w:rsid w:val="00234AAD"/>
    <w:rsid w:val="00241A3B"/>
    <w:rsid w:val="00243237"/>
    <w:rsid w:val="00245CD7"/>
    <w:rsid w:val="00251E69"/>
    <w:rsid w:val="00252D2A"/>
    <w:rsid w:val="00256E26"/>
    <w:rsid w:val="002570D0"/>
    <w:rsid w:val="0027370F"/>
    <w:rsid w:val="002742FD"/>
    <w:rsid w:val="00276937"/>
    <w:rsid w:val="002A2F82"/>
    <w:rsid w:val="002A4574"/>
    <w:rsid w:val="002B06F8"/>
    <w:rsid w:val="002B1D81"/>
    <w:rsid w:val="002B5133"/>
    <w:rsid w:val="002C364D"/>
    <w:rsid w:val="002D4916"/>
    <w:rsid w:val="002E700F"/>
    <w:rsid w:val="002F00E0"/>
    <w:rsid w:val="002F71B0"/>
    <w:rsid w:val="003003C2"/>
    <w:rsid w:val="00301B6C"/>
    <w:rsid w:val="00303642"/>
    <w:rsid w:val="00314DAD"/>
    <w:rsid w:val="00320332"/>
    <w:rsid w:val="003226DB"/>
    <w:rsid w:val="00327A21"/>
    <w:rsid w:val="00332346"/>
    <w:rsid w:val="00335548"/>
    <w:rsid w:val="00343C89"/>
    <w:rsid w:val="00346E87"/>
    <w:rsid w:val="003577FB"/>
    <w:rsid w:val="003579A0"/>
    <w:rsid w:val="0036157B"/>
    <w:rsid w:val="00361D25"/>
    <w:rsid w:val="00364F53"/>
    <w:rsid w:val="00374FB9"/>
    <w:rsid w:val="0038759A"/>
    <w:rsid w:val="0039206F"/>
    <w:rsid w:val="00392B59"/>
    <w:rsid w:val="00394B67"/>
    <w:rsid w:val="003B3B8B"/>
    <w:rsid w:val="003C5B1C"/>
    <w:rsid w:val="003D2CCC"/>
    <w:rsid w:val="003D3CED"/>
    <w:rsid w:val="003D5F58"/>
    <w:rsid w:val="003E09ED"/>
    <w:rsid w:val="003E40D6"/>
    <w:rsid w:val="003E5979"/>
    <w:rsid w:val="003F0E11"/>
    <w:rsid w:val="003F71A5"/>
    <w:rsid w:val="004012F0"/>
    <w:rsid w:val="00401E03"/>
    <w:rsid w:val="00415EBB"/>
    <w:rsid w:val="00417FEF"/>
    <w:rsid w:val="00430F22"/>
    <w:rsid w:val="00431911"/>
    <w:rsid w:val="00431CA5"/>
    <w:rsid w:val="00436E8A"/>
    <w:rsid w:val="00437B77"/>
    <w:rsid w:val="0044194F"/>
    <w:rsid w:val="00442D2F"/>
    <w:rsid w:val="00446DE5"/>
    <w:rsid w:val="004475FC"/>
    <w:rsid w:val="004517B7"/>
    <w:rsid w:val="00453402"/>
    <w:rsid w:val="00465841"/>
    <w:rsid w:val="00473381"/>
    <w:rsid w:val="004759F2"/>
    <w:rsid w:val="00485F96"/>
    <w:rsid w:val="00487488"/>
    <w:rsid w:val="004945B6"/>
    <w:rsid w:val="0049513E"/>
    <w:rsid w:val="004A27BD"/>
    <w:rsid w:val="004B257E"/>
    <w:rsid w:val="004B3EA3"/>
    <w:rsid w:val="004B525E"/>
    <w:rsid w:val="004B53CD"/>
    <w:rsid w:val="004C0AB2"/>
    <w:rsid w:val="004C1E02"/>
    <w:rsid w:val="004C5306"/>
    <w:rsid w:val="004F37FF"/>
    <w:rsid w:val="005024CB"/>
    <w:rsid w:val="0050491C"/>
    <w:rsid w:val="00511DC7"/>
    <w:rsid w:val="005140A9"/>
    <w:rsid w:val="005167AC"/>
    <w:rsid w:val="0052101F"/>
    <w:rsid w:val="00522A7B"/>
    <w:rsid w:val="00523311"/>
    <w:rsid w:val="00526F01"/>
    <w:rsid w:val="0052757D"/>
    <w:rsid w:val="00527E8E"/>
    <w:rsid w:val="00543799"/>
    <w:rsid w:val="00547ABF"/>
    <w:rsid w:val="00551135"/>
    <w:rsid w:val="0055193A"/>
    <w:rsid w:val="00553DB7"/>
    <w:rsid w:val="005614C3"/>
    <w:rsid w:val="00566208"/>
    <w:rsid w:val="00566E65"/>
    <w:rsid w:val="00567300"/>
    <w:rsid w:val="005826DF"/>
    <w:rsid w:val="00583667"/>
    <w:rsid w:val="00584436"/>
    <w:rsid w:val="00592657"/>
    <w:rsid w:val="00594ECE"/>
    <w:rsid w:val="005A0DF5"/>
    <w:rsid w:val="005A5CF0"/>
    <w:rsid w:val="005B1BD1"/>
    <w:rsid w:val="005B71AE"/>
    <w:rsid w:val="005C6E1A"/>
    <w:rsid w:val="005D0697"/>
    <w:rsid w:val="005D757F"/>
    <w:rsid w:val="005E4BAB"/>
    <w:rsid w:val="005F4030"/>
    <w:rsid w:val="00600011"/>
    <w:rsid w:val="00606B0D"/>
    <w:rsid w:val="00613357"/>
    <w:rsid w:val="00624031"/>
    <w:rsid w:val="0062607C"/>
    <w:rsid w:val="00631B67"/>
    <w:rsid w:val="0064132A"/>
    <w:rsid w:val="00641CB0"/>
    <w:rsid w:val="00642E54"/>
    <w:rsid w:val="006463F6"/>
    <w:rsid w:val="00656280"/>
    <w:rsid w:val="0066084E"/>
    <w:rsid w:val="00661FC2"/>
    <w:rsid w:val="00667484"/>
    <w:rsid w:val="0066790D"/>
    <w:rsid w:val="00674A91"/>
    <w:rsid w:val="0068305B"/>
    <w:rsid w:val="00683501"/>
    <w:rsid w:val="006846BE"/>
    <w:rsid w:val="00685AE1"/>
    <w:rsid w:val="00690C7A"/>
    <w:rsid w:val="00695ED3"/>
    <w:rsid w:val="006972D4"/>
    <w:rsid w:val="006B6960"/>
    <w:rsid w:val="006C2670"/>
    <w:rsid w:val="006D1C0F"/>
    <w:rsid w:val="006D33AF"/>
    <w:rsid w:val="006D45B4"/>
    <w:rsid w:val="006D5ABB"/>
    <w:rsid w:val="006E0C36"/>
    <w:rsid w:val="006E195E"/>
    <w:rsid w:val="006E6304"/>
    <w:rsid w:val="006E7298"/>
    <w:rsid w:val="006F3CCE"/>
    <w:rsid w:val="006F49E7"/>
    <w:rsid w:val="007043B8"/>
    <w:rsid w:val="0071369C"/>
    <w:rsid w:val="00714E4D"/>
    <w:rsid w:val="0071656F"/>
    <w:rsid w:val="00726072"/>
    <w:rsid w:val="007336B0"/>
    <w:rsid w:val="007356A4"/>
    <w:rsid w:val="0073623C"/>
    <w:rsid w:val="007407B5"/>
    <w:rsid w:val="007468FE"/>
    <w:rsid w:val="00761A7F"/>
    <w:rsid w:val="00766844"/>
    <w:rsid w:val="0077244F"/>
    <w:rsid w:val="00774626"/>
    <w:rsid w:val="0078132B"/>
    <w:rsid w:val="00793C7E"/>
    <w:rsid w:val="007B0A3F"/>
    <w:rsid w:val="007B0F47"/>
    <w:rsid w:val="007C2387"/>
    <w:rsid w:val="007C62BB"/>
    <w:rsid w:val="007D1968"/>
    <w:rsid w:val="007D2A73"/>
    <w:rsid w:val="007D6732"/>
    <w:rsid w:val="007E1966"/>
    <w:rsid w:val="007E347E"/>
    <w:rsid w:val="007F1D00"/>
    <w:rsid w:val="00801898"/>
    <w:rsid w:val="008147F1"/>
    <w:rsid w:val="00816E87"/>
    <w:rsid w:val="00816F76"/>
    <w:rsid w:val="00845F3E"/>
    <w:rsid w:val="00851673"/>
    <w:rsid w:val="00856E8A"/>
    <w:rsid w:val="00864763"/>
    <w:rsid w:val="00864A8C"/>
    <w:rsid w:val="008713DD"/>
    <w:rsid w:val="0088089E"/>
    <w:rsid w:val="00882928"/>
    <w:rsid w:val="00890132"/>
    <w:rsid w:val="00890386"/>
    <w:rsid w:val="0089545D"/>
    <w:rsid w:val="008A3855"/>
    <w:rsid w:val="008A4EAB"/>
    <w:rsid w:val="008A4F5E"/>
    <w:rsid w:val="008B1535"/>
    <w:rsid w:val="008B15F8"/>
    <w:rsid w:val="008C431E"/>
    <w:rsid w:val="008D1D3B"/>
    <w:rsid w:val="008D54E8"/>
    <w:rsid w:val="008D7DE3"/>
    <w:rsid w:val="008E043C"/>
    <w:rsid w:val="008E5402"/>
    <w:rsid w:val="008E7AF6"/>
    <w:rsid w:val="008F08DC"/>
    <w:rsid w:val="008F2906"/>
    <w:rsid w:val="008F5FE5"/>
    <w:rsid w:val="009002DB"/>
    <w:rsid w:val="00901006"/>
    <w:rsid w:val="00911DE1"/>
    <w:rsid w:val="00922DB3"/>
    <w:rsid w:val="009236A7"/>
    <w:rsid w:val="00927BB1"/>
    <w:rsid w:val="00931BB1"/>
    <w:rsid w:val="00935100"/>
    <w:rsid w:val="009468B2"/>
    <w:rsid w:val="00955B6B"/>
    <w:rsid w:val="0096093D"/>
    <w:rsid w:val="00961F1C"/>
    <w:rsid w:val="00980627"/>
    <w:rsid w:val="009823E4"/>
    <w:rsid w:val="0098316C"/>
    <w:rsid w:val="009867DE"/>
    <w:rsid w:val="00986A62"/>
    <w:rsid w:val="009952B9"/>
    <w:rsid w:val="009961F7"/>
    <w:rsid w:val="009A6DA6"/>
    <w:rsid w:val="009C0E9A"/>
    <w:rsid w:val="009C0ED1"/>
    <w:rsid w:val="009C2278"/>
    <w:rsid w:val="009C2D25"/>
    <w:rsid w:val="009C3E3A"/>
    <w:rsid w:val="009D237F"/>
    <w:rsid w:val="009E7547"/>
    <w:rsid w:val="009F2097"/>
    <w:rsid w:val="00A154A4"/>
    <w:rsid w:val="00A17715"/>
    <w:rsid w:val="00A23CBB"/>
    <w:rsid w:val="00A35888"/>
    <w:rsid w:val="00A364A2"/>
    <w:rsid w:val="00A44BAF"/>
    <w:rsid w:val="00A45372"/>
    <w:rsid w:val="00A45387"/>
    <w:rsid w:val="00A46918"/>
    <w:rsid w:val="00A4762B"/>
    <w:rsid w:val="00A522E2"/>
    <w:rsid w:val="00A606FA"/>
    <w:rsid w:val="00A72932"/>
    <w:rsid w:val="00A73009"/>
    <w:rsid w:val="00A73832"/>
    <w:rsid w:val="00A74500"/>
    <w:rsid w:val="00A74931"/>
    <w:rsid w:val="00A80D00"/>
    <w:rsid w:val="00AA630A"/>
    <w:rsid w:val="00AB2041"/>
    <w:rsid w:val="00AB4BA0"/>
    <w:rsid w:val="00AC020A"/>
    <w:rsid w:val="00AD46FC"/>
    <w:rsid w:val="00AD7F9C"/>
    <w:rsid w:val="00AE4652"/>
    <w:rsid w:val="00AE5329"/>
    <w:rsid w:val="00AE786E"/>
    <w:rsid w:val="00AF1C63"/>
    <w:rsid w:val="00AF63AD"/>
    <w:rsid w:val="00AF7DE3"/>
    <w:rsid w:val="00B003E9"/>
    <w:rsid w:val="00B02796"/>
    <w:rsid w:val="00B04A8D"/>
    <w:rsid w:val="00B17FF5"/>
    <w:rsid w:val="00B35156"/>
    <w:rsid w:val="00B362CE"/>
    <w:rsid w:val="00B41997"/>
    <w:rsid w:val="00B47BCC"/>
    <w:rsid w:val="00B50596"/>
    <w:rsid w:val="00B50654"/>
    <w:rsid w:val="00B52592"/>
    <w:rsid w:val="00B5727E"/>
    <w:rsid w:val="00B71665"/>
    <w:rsid w:val="00B81C05"/>
    <w:rsid w:val="00B83985"/>
    <w:rsid w:val="00B84BAB"/>
    <w:rsid w:val="00B91FB8"/>
    <w:rsid w:val="00BA095F"/>
    <w:rsid w:val="00BA3BA6"/>
    <w:rsid w:val="00BB01E3"/>
    <w:rsid w:val="00BC54CF"/>
    <w:rsid w:val="00BC72CB"/>
    <w:rsid w:val="00BD15B3"/>
    <w:rsid w:val="00BD6350"/>
    <w:rsid w:val="00BE0BB6"/>
    <w:rsid w:val="00BF3535"/>
    <w:rsid w:val="00BF48F5"/>
    <w:rsid w:val="00BF569B"/>
    <w:rsid w:val="00BF5E14"/>
    <w:rsid w:val="00BF7A32"/>
    <w:rsid w:val="00C050D4"/>
    <w:rsid w:val="00C07BFC"/>
    <w:rsid w:val="00C147B8"/>
    <w:rsid w:val="00C17B5C"/>
    <w:rsid w:val="00C30C0E"/>
    <w:rsid w:val="00C332B9"/>
    <w:rsid w:val="00C43B8C"/>
    <w:rsid w:val="00C508CE"/>
    <w:rsid w:val="00C57615"/>
    <w:rsid w:val="00C617E6"/>
    <w:rsid w:val="00C70A5F"/>
    <w:rsid w:val="00C7675A"/>
    <w:rsid w:val="00C80BA8"/>
    <w:rsid w:val="00C94FCF"/>
    <w:rsid w:val="00CA02DE"/>
    <w:rsid w:val="00CA0852"/>
    <w:rsid w:val="00CB29DD"/>
    <w:rsid w:val="00CB46AB"/>
    <w:rsid w:val="00CC1435"/>
    <w:rsid w:val="00CC2239"/>
    <w:rsid w:val="00CD38EE"/>
    <w:rsid w:val="00CE4CEB"/>
    <w:rsid w:val="00CF47BE"/>
    <w:rsid w:val="00D02B17"/>
    <w:rsid w:val="00D13184"/>
    <w:rsid w:val="00D229F6"/>
    <w:rsid w:val="00D37220"/>
    <w:rsid w:val="00D45478"/>
    <w:rsid w:val="00D60E80"/>
    <w:rsid w:val="00D6546E"/>
    <w:rsid w:val="00D70D3A"/>
    <w:rsid w:val="00D73C0A"/>
    <w:rsid w:val="00D7510A"/>
    <w:rsid w:val="00D7753F"/>
    <w:rsid w:val="00D81B80"/>
    <w:rsid w:val="00D83C00"/>
    <w:rsid w:val="00D847F6"/>
    <w:rsid w:val="00D86561"/>
    <w:rsid w:val="00D97D1B"/>
    <w:rsid w:val="00DA0AE1"/>
    <w:rsid w:val="00DA7710"/>
    <w:rsid w:val="00DB4F93"/>
    <w:rsid w:val="00DB6853"/>
    <w:rsid w:val="00DD23AB"/>
    <w:rsid w:val="00DD6160"/>
    <w:rsid w:val="00DE3DD7"/>
    <w:rsid w:val="00DE6D2A"/>
    <w:rsid w:val="00DE6D8A"/>
    <w:rsid w:val="00E013F8"/>
    <w:rsid w:val="00E166D8"/>
    <w:rsid w:val="00E3149A"/>
    <w:rsid w:val="00E3615D"/>
    <w:rsid w:val="00E409DD"/>
    <w:rsid w:val="00E42CD5"/>
    <w:rsid w:val="00E43A6D"/>
    <w:rsid w:val="00E44D4A"/>
    <w:rsid w:val="00E47BCE"/>
    <w:rsid w:val="00E47D64"/>
    <w:rsid w:val="00E5001F"/>
    <w:rsid w:val="00E51A30"/>
    <w:rsid w:val="00E52687"/>
    <w:rsid w:val="00E532B5"/>
    <w:rsid w:val="00E65766"/>
    <w:rsid w:val="00E71DE7"/>
    <w:rsid w:val="00E727B6"/>
    <w:rsid w:val="00E73DC7"/>
    <w:rsid w:val="00E864A6"/>
    <w:rsid w:val="00E86986"/>
    <w:rsid w:val="00EA3744"/>
    <w:rsid w:val="00EA47DD"/>
    <w:rsid w:val="00EA74AA"/>
    <w:rsid w:val="00EB034D"/>
    <w:rsid w:val="00EC0E5F"/>
    <w:rsid w:val="00ED3D69"/>
    <w:rsid w:val="00EE4787"/>
    <w:rsid w:val="00EE5121"/>
    <w:rsid w:val="00EE626D"/>
    <w:rsid w:val="00EF781C"/>
    <w:rsid w:val="00F04D0E"/>
    <w:rsid w:val="00F4735D"/>
    <w:rsid w:val="00F4785F"/>
    <w:rsid w:val="00F53214"/>
    <w:rsid w:val="00F56E44"/>
    <w:rsid w:val="00F74232"/>
    <w:rsid w:val="00F85BBC"/>
    <w:rsid w:val="00F866EB"/>
    <w:rsid w:val="00F965B7"/>
    <w:rsid w:val="00FA3A10"/>
    <w:rsid w:val="00FA680F"/>
    <w:rsid w:val="00FB06F1"/>
    <w:rsid w:val="00FB0CA4"/>
    <w:rsid w:val="00FC3AED"/>
    <w:rsid w:val="00FD2B8F"/>
    <w:rsid w:val="00FD3517"/>
    <w:rsid w:val="00FE332C"/>
    <w:rsid w:val="00FE7DBD"/>
    <w:rsid w:val="00FF4909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BD664"/>
  <w15:docId w15:val="{2A3D4D51-8F2B-4619-8868-262D931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51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0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B8F"/>
  </w:style>
  <w:style w:type="paragraph" w:styleId="Piedepgina">
    <w:name w:val="footer"/>
    <w:basedOn w:val="Normal"/>
    <w:link w:val="PiedepginaCar"/>
    <w:uiPriority w:val="99"/>
    <w:unhideWhenUsed/>
    <w:rsid w:val="00157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B8F"/>
  </w:style>
  <w:style w:type="character" w:customStyle="1" w:styleId="Ttulo1Car">
    <w:name w:val="Título 1 Car"/>
    <w:basedOn w:val="Fuentedeprrafopredeter"/>
    <w:link w:val="Ttulo1"/>
    <w:uiPriority w:val="9"/>
    <w:rsid w:val="00D751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D7510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7510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510A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361D25"/>
    <w:rPr>
      <w:b/>
      <w:bCs/>
    </w:rPr>
  </w:style>
  <w:style w:type="paragraph" w:styleId="NormalWeb">
    <w:name w:val="Normal (Web)"/>
    <w:basedOn w:val="Normal"/>
    <w:uiPriority w:val="99"/>
    <w:unhideWhenUsed/>
    <w:rsid w:val="003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478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673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5167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56280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0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2CD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B6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85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DA77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1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7474">
          <w:blockQuote w:val="1"/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Eugenia</dc:creator>
  <cp:lastModifiedBy>Mª Eugenia Domínguez</cp:lastModifiedBy>
  <cp:revision>82</cp:revision>
  <dcterms:created xsi:type="dcterms:W3CDTF">2021-05-06T11:24:00Z</dcterms:created>
  <dcterms:modified xsi:type="dcterms:W3CDTF">2021-05-12T16:10:00Z</dcterms:modified>
</cp:coreProperties>
</file>